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98D178" w14:textId="77777777" w:rsidR="00F706D7" w:rsidRDefault="00F706D7" w:rsidP="00F706D7">
      <w:pPr>
        <w:spacing w:line="276" w:lineRule="auto"/>
        <w:rPr>
          <w:rFonts w:cs="Arial"/>
        </w:rPr>
      </w:pPr>
      <w:r>
        <w:rPr>
          <w:noProof/>
          <w:lang w:eastAsia="en-GB"/>
        </w:rPr>
        <mc:AlternateContent>
          <mc:Choice Requires="wps">
            <w:drawing>
              <wp:anchor distT="0" distB="0" distL="114300" distR="114300" simplePos="0" relativeHeight="251659264" behindDoc="0" locked="0" layoutInCell="1" allowOverlap="1" wp14:anchorId="7BDA25E9" wp14:editId="7AED6690">
                <wp:simplePos x="0" y="0"/>
                <wp:positionH relativeFrom="column">
                  <wp:posOffset>0</wp:posOffset>
                </wp:positionH>
                <wp:positionV relativeFrom="paragraph">
                  <wp:posOffset>0</wp:posOffset>
                </wp:positionV>
                <wp:extent cx="1828800" cy="1828800"/>
                <wp:effectExtent l="0" t="0" r="0" b="0"/>
                <wp:wrapSquare wrapText="bothSides"/>
                <wp:docPr id="6" name="Text Box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a:effectLst/>
                      </wps:spPr>
                      <wps:txbx>
                        <w:txbxContent>
                          <w:p w14:paraId="0EE82C12" w14:textId="77777777" w:rsidR="00F706D7" w:rsidRPr="00517E46" w:rsidRDefault="00F706D7" w:rsidP="00F706D7">
                            <w:pPr>
                              <w:spacing w:line="276" w:lineRule="auto"/>
                              <w:rPr>
                                <w:rFonts w:cs="Arial"/>
                                <w:b/>
                              </w:rPr>
                            </w:pPr>
                            <w:r w:rsidRPr="00517E46">
                              <w:rPr>
                                <w:rFonts w:cs="Arial"/>
                                <w:b/>
                              </w:rPr>
                              <w:t>What do I need to do to select the right Social Value Themes and Indicators?</w:t>
                            </w:r>
                          </w:p>
                          <w:p w14:paraId="7BEF7A5D" w14:textId="77777777" w:rsidR="00F706D7" w:rsidRPr="000A456F" w:rsidRDefault="00F706D7" w:rsidP="00F706D7">
                            <w:pPr>
                              <w:spacing w:line="276" w:lineRule="auto"/>
                              <w:rPr>
                                <w:rFonts w:cs="Arial"/>
                              </w:rPr>
                            </w:pPr>
                            <w:r w:rsidRPr="000A456F">
                              <w:rPr>
                                <w:rFonts w:cs="Arial"/>
                                <w:szCs w:val="24"/>
                              </w:rPr>
                              <w:t xml:space="preserve">You need to </w:t>
                            </w:r>
                            <w:r w:rsidRPr="000A456F">
                              <w:rPr>
                                <w:rFonts w:cs="Arial"/>
                              </w:rPr>
                              <w:t xml:space="preserve">identify the risks and opportunities of what is being procured and plan how the social value requirements selected for inclusion in the contract can help to address these risks and opportunities.  The stakeholder feedback collected through your pre-procurement engagement (see Thinking Social: the pre-procurement stage) can help you identify the most appropriate Social Value Theme(s) and Indicators.  </w:t>
                            </w:r>
                          </w:p>
                          <w:p w14:paraId="2D363B18" w14:textId="77777777" w:rsidR="00F706D7" w:rsidRPr="000A456F" w:rsidRDefault="00F706D7" w:rsidP="00F706D7">
                            <w:pPr>
                              <w:spacing w:line="276" w:lineRule="auto"/>
                              <w:rPr>
                                <w:rFonts w:cs="Arial"/>
                              </w:rPr>
                            </w:pPr>
                            <w:r w:rsidRPr="000A456F">
                              <w:rPr>
                                <w:rFonts w:cs="Arial"/>
                              </w:rPr>
                              <w:t>You should examine the subject matter of the contract, considering amongst other things:</w:t>
                            </w:r>
                          </w:p>
                          <w:p w14:paraId="1485E48F" w14:textId="77777777" w:rsidR="00F706D7" w:rsidRPr="000A456F" w:rsidRDefault="00F706D7" w:rsidP="00F706D7">
                            <w:pPr>
                              <w:pStyle w:val="ListParagraph"/>
                              <w:numPr>
                                <w:ilvl w:val="0"/>
                                <w:numId w:val="1"/>
                              </w:numPr>
                              <w:spacing w:line="276" w:lineRule="auto"/>
                              <w:rPr>
                                <w:rFonts w:cs="Arial"/>
                              </w:rPr>
                            </w:pPr>
                            <w:r w:rsidRPr="000A456F">
                              <w:rPr>
                                <w:rFonts w:cs="Arial"/>
                              </w:rPr>
                              <w:t>People -  the labour profile of a typical supplier’s workforce</w:t>
                            </w:r>
                          </w:p>
                          <w:p w14:paraId="6F9DF772" w14:textId="77777777" w:rsidR="00F706D7" w:rsidRPr="000A456F" w:rsidRDefault="00F706D7" w:rsidP="00F706D7">
                            <w:pPr>
                              <w:pStyle w:val="ListParagraph"/>
                              <w:numPr>
                                <w:ilvl w:val="0"/>
                                <w:numId w:val="1"/>
                              </w:numPr>
                              <w:spacing w:line="276" w:lineRule="auto"/>
                              <w:rPr>
                                <w:rFonts w:cs="Arial"/>
                              </w:rPr>
                            </w:pPr>
                            <w:r w:rsidRPr="000A456F">
                              <w:rPr>
                                <w:rFonts w:cs="Arial"/>
                              </w:rPr>
                              <w:t>Production – the type of manufacturing/construction processes and labour involved in the delivery of the contract</w:t>
                            </w:r>
                          </w:p>
                          <w:p w14:paraId="1A2AC4C8" w14:textId="77777777" w:rsidR="00F706D7" w:rsidRPr="000A456F" w:rsidRDefault="00F706D7" w:rsidP="00F706D7">
                            <w:pPr>
                              <w:pStyle w:val="ListParagraph"/>
                              <w:numPr>
                                <w:ilvl w:val="0"/>
                                <w:numId w:val="1"/>
                              </w:numPr>
                              <w:spacing w:line="276" w:lineRule="auto"/>
                              <w:rPr>
                                <w:rFonts w:cs="Arial"/>
                              </w:rPr>
                            </w:pPr>
                            <w:r w:rsidRPr="000A456F">
                              <w:rPr>
                                <w:rFonts w:cs="Arial"/>
                              </w:rPr>
                              <w:t xml:space="preserve">Sectors – the type of organisations that are represented (SME/micro/entrepreneurs/VCSE/large suppliers) </w:t>
                            </w:r>
                          </w:p>
                          <w:p w14:paraId="75CBE393" w14:textId="77777777" w:rsidR="00F706D7" w:rsidRPr="000A456F" w:rsidRDefault="00F706D7" w:rsidP="00F706D7">
                            <w:pPr>
                              <w:pStyle w:val="ListParagraph"/>
                              <w:numPr>
                                <w:ilvl w:val="0"/>
                                <w:numId w:val="1"/>
                              </w:numPr>
                              <w:spacing w:line="276" w:lineRule="auto"/>
                              <w:rPr>
                                <w:rFonts w:cs="Arial"/>
                              </w:rPr>
                            </w:pPr>
                            <w:r w:rsidRPr="000A456F">
                              <w:rPr>
                                <w:rFonts w:cs="Arial"/>
                              </w:rPr>
                              <w:t>Supply Chain – are there opportunities for SEs/SMEs in the supply chain, are there human rights or modern slavery risks?)</w:t>
                            </w:r>
                          </w:p>
                          <w:p w14:paraId="29E68413" w14:textId="77777777" w:rsidR="00F706D7" w:rsidRPr="00CF07B1" w:rsidRDefault="00F706D7" w:rsidP="00F706D7">
                            <w:pPr>
                              <w:pStyle w:val="ListParagraph"/>
                              <w:numPr>
                                <w:ilvl w:val="0"/>
                                <w:numId w:val="1"/>
                              </w:numPr>
                              <w:spacing w:line="276" w:lineRule="auto"/>
                              <w:rPr>
                                <w:rFonts w:cs="Arial"/>
                              </w:rPr>
                            </w:pPr>
                            <w:r w:rsidRPr="000A456F">
                              <w:rPr>
                                <w:rFonts w:cs="Arial"/>
                              </w:rPr>
                              <w:t>Policies – your organisation’s strategic priorities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7BDA25E9" id="_x0000_t202" coordsize="21600,21600" o:spt="202" path="m,l,21600r21600,l21600,xe">
                <v:stroke joinstyle="miter"/>
                <v:path gradientshapeok="t" o:connecttype="rect"/>
              </v:shapetype>
              <v:shape id="Text Box 6" o:spid="_x0000_s1026" type="#_x0000_t202" style="position:absolute;margin-left:0;margin-top:0;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" filled="f" strokeweight=".5pt">
                <v:textbox style="mso-fit-shape-to-text:t">
                  <w:txbxContent>
                    <w:p w14:paraId="0EE82C12" w14:textId="77777777" w:rsidR="00F706D7" w:rsidRPr="00517E46" w:rsidRDefault="00F706D7" w:rsidP="00F706D7">
                      <w:pPr>
                        <w:spacing w:line="276" w:lineRule="auto"/>
                        <w:rPr>
                          <w:rFonts w:cs="Arial"/>
                          <w:b/>
                        </w:rPr>
                      </w:pPr>
                      <w:r w:rsidRPr="00517E46">
                        <w:rPr>
                          <w:rFonts w:cs="Arial"/>
                          <w:b/>
                        </w:rPr>
                        <w:t>What do I need to do to select the right Social Value Themes and Indicators?</w:t>
                      </w:r>
                    </w:p>
                    <w:p w14:paraId="7BEF7A5D" w14:textId="77777777" w:rsidR="00F706D7" w:rsidRPr="000A456F" w:rsidRDefault="00F706D7" w:rsidP="00F706D7">
                      <w:pPr>
                        <w:spacing w:line="276" w:lineRule="auto"/>
                        <w:rPr>
                          <w:rFonts w:cs="Arial"/>
                        </w:rPr>
                      </w:pPr>
                      <w:r w:rsidRPr="000A456F">
                        <w:rPr>
                          <w:rFonts w:cs="Arial"/>
                          <w:szCs w:val="24"/>
                        </w:rPr>
                        <w:t xml:space="preserve">You need to </w:t>
                      </w:r>
                      <w:r w:rsidRPr="000A456F">
                        <w:rPr>
                          <w:rFonts w:cs="Arial"/>
                        </w:rPr>
                        <w:t xml:space="preserve">identify the risks and opportunities of what is being procured and plan how the social value requirements selected for inclusion in the contract can help to address these risks and opportunities.  The stakeholder feedback collected through your pre-procurement engagement (see Thinking Social: the pre-procurement stage) can help you identify the most appropriate Social Value Theme(s) and Indicators.  </w:t>
                      </w:r>
                    </w:p>
                    <w:p w14:paraId="2D363B18" w14:textId="77777777" w:rsidR="00F706D7" w:rsidRPr="000A456F" w:rsidRDefault="00F706D7" w:rsidP="00F706D7">
                      <w:pPr>
                        <w:spacing w:line="276" w:lineRule="auto"/>
                        <w:rPr>
                          <w:rFonts w:cs="Arial"/>
                        </w:rPr>
                      </w:pPr>
                      <w:r w:rsidRPr="000A456F">
                        <w:rPr>
                          <w:rFonts w:cs="Arial"/>
                        </w:rPr>
                        <w:t>You should examine the subject matter of the contract, considering amongst other things:</w:t>
                      </w:r>
                    </w:p>
                    <w:p w14:paraId="1485E48F" w14:textId="77777777" w:rsidR="00F706D7" w:rsidRPr="000A456F" w:rsidRDefault="00F706D7" w:rsidP="00F706D7">
                      <w:pPr>
                        <w:pStyle w:val="ListParagraph"/>
                        <w:numPr>
                          <w:ilvl w:val="0"/>
                          <w:numId w:val="1"/>
                        </w:numPr>
                        <w:spacing w:line="276" w:lineRule="auto"/>
                        <w:rPr>
                          <w:rFonts w:cs="Arial"/>
                        </w:rPr>
                      </w:pPr>
                      <w:r w:rsidRPr="000A456F">
                        <w:rPr>
                          <w:rFonts w:cs="Arial"/>
                        </w:rPr>
                        <w:t>People -  the labour profile of a typical supplier’s workforce</w:t>
                      </w:r>
                    </w:p>
                    <w:p w14:paraId="6F9DF772" w14:textId="77777777" w:rsidR="00F706D7" w:rsidRPr="000A456F" w:rsidRDefault="00F706D7" w:rsidP="00F706D7">
                      <w:pPr>
                        <w:pStyle w:val="ListParagraph"/>
                        <w:numPr>
                          <w:ilvl w:val="0"/>
                          <w:numId w:val="1"/>
                        </w:numPr>
                        <w:spacing w:line="276" w:lineRule="auto"/>
                        <w:rPr>
                          <w:rFonts w:cs="Arial"/>
                        </w:rPr>
                      </w:pPr>
                      <w:r w:rsidRPr="000A456F">
                        <w:rPr>
                          <w:rFonts w:cs="Arial"/>
                        </w:rPr>
                        <w:t>Production – the type of manufacturing/construction processes and labour involved in the delivery of the contract</w:t>
                      </w:r>
                    </w:p>
                    <w:p w14:paraId="1A2AC4C8" w14:textId="77777777" w:rsidR="00F706D7" w:rsidRPr="000A456F" w:rsidRDefault="00F706D7" w:rsidP="00F706D7">
                      <w:pPr>
                        <w:pStyle w:val="ListParagraph"/>
                        <w:numPr>
                          <w:ilvl w:val="0"/>
                          <w:numId w:val="1"/>
                        </w:numPr>
                        <w:spacing w:line="276" w:lineRule="auto"/>
                        <w:rPr>
                          <w:rFonts w:cs="Arial"/>
                        </w:rPr>
                      </w:pPr>
                      <w:r w:rsidRPr="000A456F">
                        <w:rPr>
                          <w:rFonts w:cs="Arial"/>
                        </w:rPr>
                        <w:t xml:space="preserve">Sectors – the type of organisations that are represented (SME/micro/entrepreneurs/VCSE/large suppliers) </w:t>
                      </w:r>
                    </w:p>
                    <w:p w14:paraId="75CBE393" w14:textId="77777777" w:rsidR="00F706D7" w:rsidRPr="000A456F" w:rsidRDefault="00F706D7" w:rsidP="00F706D7">
                      <w:pPr>
                        <w:pStyle w:val="ListParagraph"/>
                        <w:numPr>
                          <w:ilvl w:val="0"/>
                          <w:numId w:val="1"/>
                        </w:numPr>
                        <w:spacing w:line="276" w:lineRule="auto"/>
                        <w:rPr>
                          <w:rFonts w:cs="Arial"/>
                        </w:rPr>
                      </w:pPr>
                      <w:r w:rsidRPr="000A456F">
                        <w:rPr>
                          <w:rFonts w:cs="Arial"/>
                        </w:rPr>
                        <w:t>Supply Chain – are there opportunities for SEs/SMEs in the supply chain, are there human rights or modern slavery risks?)</w:t>
                      </w:r>
                    </w:p>
                    <w:p w14:paraId="29E68413" w14:textId="77777777" w:rsidR="00F706D7" w:rsidRPr="00CF07B1" w:rsidRDefault="00F706D7" w:rsidP="00F706D7">
                      <w:pPr>
                        <w:pStyle w:val="ListParagraph"/>
                        <w:numPr>
                          <w:ilvl w:val="0"/>
                          <w:numId w:val="1"/>
                        </w:numPr>
                        <w:spacing w:line="276" w:lineRule="auto"/>
                        <w:rPr>
                          <w:rFonts w:cs="Arial"/>
                        </w:rPr>
                      </w:pPr>
                      <w:r w:rsidRPr="000A456F">
                        <w:rPr>
                          <w:rFonts w:cs="Arial"/>
                        </w:rPr>
                        <w:t>Policies – your organisation’s strategic priorities</w:t>
                      </w:r>
                    </w:p>
                  </w:txbxContent>
                </v:textbox>
                <w10:wrap type="square"/>
              </v:shape>
            </w:pict>
          </mc:Fallback>
        </mc:AlternateContent>
      </w:r>
    </w:p>
    <w:p w14:paraId="01A88FDC" w14:textId="77777777" w:rsidR="00F706D7" w:rsidRDefault="00F706D7" w:rsidP="00F706D7">
      <w:pPr>
        <w:spacing w:line="276" w:lineRule="auto"/>
        <w:rPr>
          <w:rFonts w:cs="Arial"/>
        </w:rPr>
      </w:pPr>
      <w:r w:rsidRPr="000A456F">
        <w:rPr>
          <w:rFonts w:cs="Arial"/>
        </w:rPr>
        <w:t xml:space="preserve">The table below sets out an example of the risks and opportunities that exist across the subject matter of a contract and suggests the social value themes and indicators that may be included in a contract in response to such risks and opportunities. </w:t>
      </w:r>
    </w:p>
    <w:p w14:paraId="3AA3A54B" w14:textId="77777777" w:rsidR="00CC440C" w:rsidRPr="000A456F" w:rsidRDefault="00CC440C" w:rsidP="00F706D7">
      <w:pPr>
        <w:spacing w:line="276" w:lineRule="auto"/>
        <w:rPr>
          <w:rFonts w:cs="Arial"/>
        </w:rPr>
      </w:pPr>
    </w:p>
    <w:tbl>
      <w:tblPr>
        <w:tblStyle w:val="TableGrid"/>
        <w:tblW w:w="9782" w:type="dxa"/>
        <w:tblInd w:w="-289" w:type="dxa"/>
        <w:tblLayout w:type="fixed"/>
        <w:tblLook w:val="04A0" w:firstRow="1" w:lastRow="0" w:firstColumn="1" w:lastColumn="0" w:noHBand="0" w:noVBand="1"/>
      </w:tblPr>
      <w:tblGrid>
        <w:gridCol w:w="1277"/>
        <w:gridCol w:w="1417"/>
        <w:gridCol w:w="1418"/>
        <w:gridCol w:w="1417"/>
        <w:gridCol w:w="1418"/>
        <w:gridCol w:w="1417"/>
        <w:gridCol w:w="1418"/>
      </w:tblGrid>
      <w:tr w:rsidR="00F706D7" w:rsidRPr="00F706D7" w14:paraId="6731B9CA" w14:textId="77777777" w:rsidTr="00CC440C">
        <w:trPr>
          <w:cantSplit/>
          <w:tblHeader/>
        </w:trPr>
        <w:tc>
          <w:tcPr>
            <w:tcW w:w="1277" w:type="dxa"/>
          </w:tcPr>
          <w:p w14:paraId="33090054" w14:textId="77777777" w:rsidR="00F706D7" w:rsidRPr="00F706D7" w:rsidRDefault="00F706D7" w:rsidP="00CC440C">
            <w:pPr>
              <w:spacing w:before="120" w:after="120" w:line="276" w:lineRule="auto"/>
              <w:rPr>
                <w:rFonts w:cs="Arial"/>
                <w:b/>
                <w:sz w:val="20"/>
              </w:rPr>
            </w:pPr>
          </w:p>
        </w:tc>
        <w:tc>
          <w:tcPr>
            <w:tcW w:w="1417" w:type="dxa"/>
          </w:tcPr>
          <w:p w14:paraId="7B5E6C15" w14:textId="77777777" w:rsidR="00F706D7" w:rsidRPr="00F706D7" w:rsidRDefault="00F706D7" w:rsidP="00CC440C">
            <w:pPr>
              <w:spacing w:before="120" w:after="120" w:line="276" w:lineRule="auto"/>
              <w:rPr>
                <w:rFonts w:cs="Arial"/>
                <w:b/>
                <w:sz w:val="20"/>
              </w:rPr>
            </w:pPr>
            <w:r w:rsidRPr="00F706D7">
              <w:rPr>
                <w:rFonts w:cs="Arial"/>
                <w:b/>
                <w:sz w:val="20"/>
              </w:rPr>
              <w:t>Risk</w:t>
            </w:r>
          </w:p>
        </w:tc>
        <w:tc>
          <w:tcPr>
            <w:tcW w:w="1418" w:type="dxa"/>
          </w:tcPr>
          <w:p w14:paraId="70654C19" w14:textId="77777777" w:rsidR="00F706D7" w:rsidRPr="00F706D7" w:rsidRDefault="00F706D7" w:rsidP="00CC440C">
            <w:pPr>
              <w:spacing w:before="120" w:after="120" w:line="276" w:lineRule="auto"/>
              <w:rPr>
                <w:rFonts w:cs="Arial"/>
                <w:b/>
                <w:sz w:val="20"/>
              </w:rPr>
            </w:pPr>
            <w:r w:rsidRPr="00F706D7">
              <w:rPr>
                <w:rFonts w:cs="Arial"/>
                <w:b/>
                <w:sz w:val="20"/>
              </w:rPr>
              <w:t>Relevant Social Value Theme(s)</w:t>
            </w:r>
          </w:p>
        </w:tc>
        <w:tc>
          <w:tcPr>
            <w:tcW w:w="1417" w:type="dxa"/>
          </w:tcPr>
          <w:p w14:paraId="79255FA1" w14:textId="77777777" w:rsidR="00F706D7" w:rsidRPr="00F706D7" w:rsidRDefault="00F706D7" w:rsidP="00CC440C">
            <w:pPr>
              <w:spacing w:before="120" w:after="120" w:line="276" w:lineRule="auto"/>
              <w:rPr>
                <w:rFonts w:cs="Arial"/>
                <w:b/>
                <w:sz w:val="20"/>
              </w:rPr>
            </w:pPr>
            <w:r w:rsidRPr="00F706D7">
              <w:rPr>
                <w:rFonts w:cs="Arial"/>
                <w:b/>
                <w:sz w:val="20"/>
              </w:rPr>
              <w:t xml:space="preserve">Relevant Indicators </w:t>
            </w:r>
          </w:p>
        </w:tc>
        <w:tc>
          <w:tcPr>
            <w:tcW w:w="1418" w:type="dxa"/>
          </w:tcPr>
          <w:p w14:paraId="29D289C4" w14:textId="77777777" w:rsidR="00F706D7" w:rsidRPr="00F706D7" w:rsidRDefault="00F706D7" w:rsidP="00CC440C">
            <w:pPr>
              <w:spacing w:before="120" w:after="120" w:line="276" w:lineRule="auto"/>
              <w:rPr>
                <w:rFonts w:cs="Arial"/>
                <w:b/>
                <w:sz w:val="20"/>
              </w:rPr>
            </w:pPr>
            <w:r w:rsidRPr="00F706D7">
              <w:rPr>
                <w:rFonts w:cs="Arial"/>
                <w:b/>
                <w:sz w:val="20"/>
              </w:rPr>
              <w:t>Opportunity</w:t>
            </w:r>
          </w:p>
        </w:tc>
        <w:tc>
          <w:tcPr>
            <w:tcW w:w="1417" w:type="dxa"/>
          </w:tcPr>
          <w:p w14:paraId="0CFBFBCC" w14:textId="77777777" w:rsidR="00F706D7" w:rsidRPr="00F706D7" w:rsidRDefault="00F706D7" w:rsidP="00CC440C">
            <w:pPr>
              <w:spacing w:before="120" w:after="120" w:line="276" w:lineRule="auto"/>
              <w:rPr>
                <w:rFonts w:cs="Arial"/>
                <w:b/>
                <w:sz w:val="20"/>
              </w:rPr>
            </w:pPr>
            <w:r w:rsidRPr="00F706D7">
              <w:rPr>
                <w:rFonts w:cs="Arial"/>
                <w:b/>
                <w:sz w:val="20"/>
              </w:rPr>
              <w:t>Relevant Social Value Theme(s)</w:t>
            </w:r>
          </w:p>
        </w:tc>
        <w:tc>
          <w:tcPr>
            <w:tcW w:w="1418" w:type="dxa"/>
          </w:tcPr>
          <w:p w14:paraId="39F7818C" w14:textId="77777777" w:rsidR="00F706D7" w:rsidRPr="00F706D7" w:rsidRDefault="00F706D7" w:rsidP="00CC440C">
            <w:pPr>
              <w:spacing w:before="120" w:after="120" w:line="276" w:lineRule="auto"/>
              <w:rPr>
                <w:rFonts w:cs="Arial"/>
                <w:b/>
                <w:sz w:val="20"/>
              </w:rPr>
            </w:pPr>
            <w:r w:rsidRPr="00F706D7">
              <w:rPr>
                <w:rFonts w:cs="Arial"/>
                <w:b/>
                <w:sz w:val="20"/>
              </w:rPr>
              <w:t xml:space="preserve">Relevant Indicators </w:t>
            </w:r>
          </w:p>
        </w:tc>
      </w:tr>
      <w:tr w:rsidR="00F706D7" w:rsidRPr="00F706D7" w14:paraId="497F3B5E" w14:textId="77777777" w:rsidTr="00AB7194">
        <w:tc>
          <w:tcPr>
            <w:tcW w:w="1277" w:type="dxa"/>
          </w:tcPr>
          <w:p w14:paraId="79B163BB" w14:textId="77777777" w:rsidR="00F706D7" w:rsidRPr="00F706D7" w:rsidRDefault="00F706D7" w:rsidP="00CC440C">
            <w:pPr>
              <w:spacing w:before="120" w:after="120" w:line="276" w:lineRule="auto"/>
              <w:rPr>
                <w:rFonts w:cs="Arial"/>
                <w:b/>
                <w:sz w:val="20"/>
              </w:rPr>
            </w:pPr>
            <w:r w:rsidRPr="00F706D7">
              <w:rPr>
                <w:rFonts w:cs="Arial"/>
                <w:b/>
                <w:sz w:val="20"/>
              </w:rPr>
              <w:t>People</w:t>
            </w:r>
          </w:p>
        </w:tc>
        <w:tc>
          <w:tcPr>
            <w:tcW w:w="1417" w:type="dxa"/>
          </w:tcPr>
          <w:p w14:paraId="254BE59C" w14:textId="77777777" w:rsidR="00F706D7" w:rsidRPr="00F706D7" w:rsidRDefault="00F706D7" w:rsidP="00CC440C">
            <w:pPr>
              <w:spacing w:before="120" w:after="120" w:line="276" w:lineRule="auto"/>
              <w:rPr>
                <w:rFonts w:cs="Arial"/>
                <w:sz w:val="20"/>
              </w:rPr>
            </w:pPr>
            <w:r w:rsidRPr="00F706D7">
              <w:rPr>
                <w:rFonts w:cs="Arial"/>
                <w:sz w:val="20"/>
              </w:rPr>
              <w:t>Workers tend to be unskilled and earn low wages.</w:t>
            </w:r>
          </w:p>
        </w:tc>
        <w:tc>
          <w:tcPr>
            <w:tcW w:w="1418" w:type="dxa"/>
          </w:tcPr>
          <w:p w14:paraId="6BB46211" w14:textId="77777777" w:rsidR="00F706D7" w:rsidRPr="00F706D7" w:rsidRDefault="00F706D7" w:rsidP="00CC440C">
            <w:pPr>
              <w:spacing w:before="120" w:after="120" w:line="276" w:lineRule="auto"/>
              <w:rPr>
                <w:rFonts w:cs="Arial"/>
                <w:sz w:val="20"/>
              </w:rPr>
            </w:pPr>
            <w:r w:rsidRPr="00F706D7">
              <w:rPr>
                <w:rFonts w:cs="Arial"/>
                <w:sz w:val="20"/>
              </w:rPr>
              <w:t xml:space="preserve">Increasing secure employment and skills </w:t>
            </w:r>
          </w:p>
        </w:tc>
        <w:tc>
          <w:tcPr>
            <w:tcW w:w="1417" w:type="dxa"/>
          </w:tcPr>
          <w:p w14:paraId="02232290" w14:textId="77777777" w:rsidR="00F706D7" w:rsidRPr="00F706D7" w:rsidRDefault="00F706D7" w:rsidP="00CC440C">
            <w:pPr>
              <w:spacing w:before="120" w:after="120" w:line="276" w:lineRule="auto"/>
              <w:rPr>
                <w:rFonts w:cs="Arial"/>
                <w:sz w:val="20"/>
              </w:rPr>
            </w:pPr>
            <w:r w:rsidRPr="00F706D7">
              <w:rPr>
                <w:rFonts w:cs="Arial"/>
                <w:sz w:val="20"/>
              </w:rPr>
              <w:t>In-work progression and skills development</w:t>
            </w:r>
          </w:p>
        </w:tc>
        <w:tc>
          <w:tcPr>
            <w:tcW w:w="1418" w:type="dxa"/>
          </w:tcPr>
          <w:p w14:paraId="18F18F82" w14:textId="77777777" w:rsidR="00F706D7" w:rsidRPr="00F706D7" w:rsidRDefault="00F706D7" w:rsidP="00CC440C">
            <w:pPr>
              <w:spacing w:before="120" w:after="120" w:line="276" w:lineRule="auto"/>
              <w:rPr>
                <w:rFonts w:cs="Arial"/>
                <w:sz w:val="20"/>
              </w:rPr>
            </w:pPr>
            <w:r w:rsidRPr="00F706D7">
              <w:rPr>
                <w:rFonts w:cs="Arial"/>
                <w:sz w:val="20"/>
              </w:rPr>
              <w:t>Workers are in high demand due to skill shortages in the industry.</w:t>
            </w:r>
          </w:p>
        </w:tc>
        <w:tc>
          <w:tcPr>
            <w:tcW w:w="1417" w:type="dxa"/>
          </w:tcPr>
          <w:p w14:paraId="061B339E" w14:textId="77777777" w:rsidR="00F706D7" w:rsidRPr="00F706D7" w:rsidRDefault="00F706D7" w:rsidP="00CC440C">
            <w:pPr>
              <w:spacing w:before="120" w:after="120" w:line="276" w:lineRule="auto"/>
              <w:rPr>
                <w:rFonts w:cs="Arial"/>
                <w:sz w:val="20"/>
              </w:rPr>
            </w:pPr>
            <w:r w:rsidRPr="00F706D7">
              <w:rPr>
                <w:rFonts w:cs="Arial"/>
                <w:sz w:val="20"/>
              </w:rPr>
              <w:t xml:space="preserve">Increasing secure employment and skills  </w:t>
            </w:r>
          </w:p>
        </w:tc>
        <w:tc>
          <w:tcPr>
            <w:tcW w:w="1418" w:type="dxa"/>
          </w:tcPr>
          <w:p w14:paraId="5C97E028" w14:textId="77777777" w:rsidR="00F706D7" w:rsidRPr="00F706D7" w:rsidRDefault="00F706D7" w:rsidP="00CC440C">
            <w:pPr>
              <w:spacing w:before="120" w:after="120" w:line="276" w:lineRule="auto"/>
              <w:rPr>
                <w:rFonts w:cs="Arial"/>
                <w:sz w:val="20"/>
              </w:rPr>
            </w:pPr>
            <w:r w:rsidRPr="00F706D7">
              <w:rPr>
                <w:rFonts w:cs="Arial"/>
                <w:sz w:val="20"/>
              </w:rPr>
              <w:t>Work experience</w:t>
            </w:r>
          </w:p>
        </w:tc>
      </w:tr>
      <w:tr w:rsidR="00F706D7" w:rsidRPr="00F706D7" w14:paraId="1600963B" w14:textId="77777777" w:rsidTr="00AB7194">
        <w:tc>
          <w:tcPr>
            <w:tcW w:w="1277" w:type="dxa"/>
          </w:tcPr>
          <w:p w14:paraId="31156103" w14:textId="77777777" w:rsidR="00F706D7" w:rsidRPr="00F706D7" w:rsidRDefault="00F706D7" w:rsidP="00CC440C">
            <w:pPr>
              <w:spacing w:before="120" w:after="120" w:line="276" w:lineRule="auto"/>
              <w:rPr>
                <w:rFonts w:cs="Arial"/>
                <w:b/>
                <w:sz w:val="20"/>
              </w:rPr>
            </w:pPr>
            <w:r w:rsidRPr="00F706D7">
              <w:rPr>
                <w:rFonts w:cs="Arial"/>
                <w:b/>
                <w:sz w:val="20"/>
              </w:rPr>
              <w:t>Production</w:t>
            </w:r>
          </w:p>
        </w:tc>
        <w:tc>
          <w:tcPr>
            <w:tcW w:w="1417" w:type="dxa"/>
          </w:tcPr>
          <w:p w14:paraId="1C377E18" w14:textId="77777777" w:rsidR="00F706D7" w:rsidRPr="00F706D7" w:rsidRDefault="00F706D7" w:rsidP="00CC440C">
            <w:pPr>
              <w:spacing w:before="120" w:after="120" w:line="276" w:lineRule="auto"/>
              <w:rPr>
                <w:rFonts w:cs="Arial"/>
                <w:sz w:val="20"/>
              </w:rPr>
            </w:pPr>
            <w:r w:rsidRPr="00F706D7">
              <w:rPr>
                <w:rFonts w:cs="Arial"/>
                <w:sz w:val="20"/>
              </w:rPr>
              <w:t>The labour involved in the contract requires lone working and /or shift work.</w:t>
            </w:r>
          </w:p>
        </w:tc>
        <w:tc>
          <w:tcPr>
            <w:tcW w:w="1418" w:type="dxa"/>
          </w:tcPr>
          <w:p w14:paraId="17ED1592" w14:textId="77777777" w:rsidR="00F706D7" w:rsidRPr="00F706D7" w:rsidRDefault="00F706D7" w:rsidP="00CC440C">
            <w:pPr>
              <w:spacing w:before="120" w:after="120" w:line="276" w:lineRule="auto"/>
              <w:rPr>
                <w:rFonts w:cs="Arial"/>
                <w:sz w:val="20"/>
              </w:rPr>
            </w:pPr>
            <w:r w:rsidRPr="00F706D7">
              <w:rPr>
                <w:rFonts w:cs="Arial"/>
                <w:sz w:val="20"/>
              </w:rPr>
              <w:t xml:space="preserve">Promoting Wellbeing </w:t>
            </w:r>
          </w:p>
        </w:tc>
        <w:tc>
          <w:tcPr>
            <w:tcW w:w="1417" w:type="dxa"/>
          </w:tcPr>
          <w:p w14:paraId="7D613403" w14:textId="77777777" w:rsidR="00F706D7" w:rsidRPr="00F706D7" w:rsidRDefault="00F706D7" w:rsidP="00CC440C">
            <w:pPr>
              <w:spacing w:before="120" w:after="120" w:line="276" w:lineRule="auto"/>
              <w:rPr>
                <w:rFonts w:cs="Arial"/>
                <w:sz w:val="20"/>
              </w:rPr>
            </w:pPr>
            <w:r w:rsidRPr="00F706D7">
              <w:rPr>
                <w:rFonts w:cs="Arial"/>
                <w:sz w:val="20"/>
              </w:rPr>
              <w:t>Health and Wellbeing Strategy /</w:t>
            </w:r>
          </w:p>
          <w:p w14:paraId="15155D37" w14:textId="77777777" w:rsidR="00F706D7" w:rsidRPr="00F706D7" w:rsidRDefault="00F706D7" w:rsidP="00CC440C">
            <w:pPr>
              <w:spacing w:before="120" w:after="120" w:line="276" w:lineRule="auto"/>
              <w:rPr>
                <w:rFonts w:cs="Arial"/>
                <w:sz w:val="20"/>
              </w:rPr>
            </w:pPr>
            <w:r w:rsidRPr="00F706D7">
              <w:rPr>
                <w:rFonts w:cs="Arial"/>
                <w:sz w:val="20"/>
              </w:rPr>
              <w:t>Fair Work Strategy</w:t>
            </w:r>
          </w:p>
        </w:tc>
        <w:tc>
          <w:tcPr>
            <w:tcW w:w="1418" w:type="dxa"/>
          </w:tcPr>
          <w:p w14:paraId="6FA5BFD9" w14:textId="77777777" w:rsidR="00F706D7" w:rsidRPr="00F706D7" w:rsidRDefault="00F706D7" w:rsidP="00CC440C">
            <w:pPr>
              <w:spacing w:before="120" w:after="120" w:line="276" w:lineRule="auto"/>
              <w:rPr>
                <w:rFonts w:cs="Arial"/>
                <w:sz w:val="20"/>
              </w:rPr>
            </w:pPr>
            <w:r w:rsidRPr="00F706D7">
              <w:rPr>
                <w:rFonts w:cs="Arial"/>
                <w:sz w:val="20"/>
              </w:rPr>
              <w:t>The labour involved in the contract is highly skilled.</w:t>
            </w:r>
          </w:p>
        </w:tc>
        <w:tc>
          <w:tcPr>
            <w:tcW w:w="1417" w:type="dxa"/>
          </w:tcPr>
          <w:p w14:paraId="44BDE2DD" w14:textId="77777777" w:rsidR="00F706D7" w:rsidRPr="00F706D7" w:rsidRDefault="00F706D7" w:rsidP="00CC440C">
            <w:pPr>
              <w:spacing w:before="120" w:after="120" w:line="276" w:lineRule="auto"/>
              <w:rPr>
                <w:rFonts w:cs="Arial"/>
                <w:sz w:val="20"/>
              </w:rPr>
            </w:pPr>
            <w:r w:rsidRPr="00F706D7">
              <w:rPr>
                <w:rFonts w:cs="Arial"/>
                <w:sz w:val="20"/>
              </w:rPr>
              <w:t xml:space="preserve">Increasing secure employment and skills  </w:t>
            </w:r>
          </w:p>
        </w:tc>
        <w:tc>
          <w:tcPr>
            <w:tcW w:w="1418" w:type="dxa"/>
          </w:tcPr>
          <w:p w14:paraId="43B51C04" w14:textId="77777777" w:rsidR="00F706D7" w:rsidRPr="00F706D7" w:rsidRDefault="00F706D7" w:rsidP="00CC440C">
            <w:pPr>
              <w:spacing w:before="120" w:after="120" w:line="276" w:lineRule="auto"/>
              <w:rPr>
                <w:rFonts w:cs="Arial"/>
                <w:sz w:val="20"/>
              </w:rPr>
            </w:pPr>
            <w:r w:rsidRPr="00F706D7">
              <w:rPr>
                <w:rFonts w:cs="Arial"/>
                <w:sz w:val="20"/>
              </w:rPr>
              <w:t>Skills development and educational attainment</w:t>
            </w:r>
          </w:p>
        </w:tc>
      </w:tr>
      <w:tr w:rsidR="00F706D7" w:rsidRPr="00F706D7" w14:paraId="71D0080F" w14:textId="77777777" w:rsidTr="00AB7194">
        <w:tc>
          <w:tcPr>
            <w:tcW w:w="1277" w:type="dxa"/>
          </w:tcPr>
          <w:p w14:paraId="2F900191" w14:textId="77777777" w:rsidR="00F706D7" w:rsidRPr="00F706D7" w:rsidRDefault="00F706D7" w:rsidP="00CC440C">
            <w:pPr>
              <w:spacing w:before="120" w:after="120" w:line="276" w:lineRule="auto"/>
              <w:rPr>
                <w:rFonts w:cs="Arial"/>
                <w:b/>
                <w:sz w:val="20"/>
              </w:rPr>
            </w:pPr>
            <w:r w:rsidRPr="00F706D7">
              <w:rPr>
                <w:rFonts w:cs="Arial"/>
                <w:b/>
                <w:sz w:val="20"/>
              </w:rPr>
              <w:lastRenderedPageBreak/>
              <w:t>Sector</w:t>
            </w:r>
          </w:p>
        </w:tc>
        <w:tc>
          <w:tcPr>
            <w:tcW w:w="1417" w:type="dxa"/>
          </w:tcPr>
          <w:p w14:paraId="4298F0FE" w14:textId="77777777" w:rsidR="00F706D7" w:rsidRPr="00F706D7" w:rsidRDefault="00F706D7" w:rsidP="00CC440C">
            <w:pPr>
              <w:spacing w:before="120" w:after="120" w:line="276" w:lineRule="auto"/>
              <w:rPr>
                <w:rFonts w:cs="Arial"/>
                <w:sz w:val="20"/>
              </w:rPr>
            </w:pPr>
            <w:r w:rsidRPr="00F706D7">
              <w:rPr>
                <w:rFonts w:cs="Arial"/>
                <w:sz w:val="20"/>
              </w:rPr>
              <w:t xml:space="preserve">There are a limited number of suppliers in the market. </w:t>
            </w:r>
          </w:p>
        </w:tc>
        <w:tc>
          <w:tcPr>
            <w:tcW w:w="1418" w:type="dxa"/>
          </w:tcPr>
          <w:p w14:paraId="00620789" w14:textId="77777777" w:rsidR="00F706D7" w:rsidRPr="00F706D7" w:rsidRDefault="00F706D7" w:rsidP="00CC440C">
            <w:pPr>
              <w:spacing w:before="120" w:after="120" w:line="276" w:lineRule="auto"/>
              <w:rPr>
                <w:rFonts w:cs="Arial"/>
                <w:sz w:val="20"/>
              </w:rPr>
            </w:pPr>
            <w:r w:rsidRPr="00F706D7">
              <w:rPr>
                <w:rFonts w:cs="Arial"/>
                <w:sz w:val="20"/>
              </w:rPr>
              <w:t>Building ethical and resilient supply chains</w:t>
            </w:r>
          </w:p>
        </w:tc>
        <w:tc>
          <w:tcPr>
            <w:tcW w:w="1417" w:type="dxa"/>
          </w:tcPr>
          <w:p w14:paraId="4BC7BC48" w14:textId="77777777" w:rsidR="00F706D7" w:rsidRPr="00F706D7" w:rsidRDefault="00F706D7" w:rsidP="00CC440C">
            <w:pPr>
              <w:spacing w:before="120" w:after="120" w:line="276" w:lineRule="auto"/>
              <w:rPr>
                <w:rFonts w:cs="Arial"/>
                <w:sz w:val="20"/>
              </w:rPr>
            </w:pPr>
            <w:r w:rsidRPr="00F706D7">
              <w:rPr>
                <w:rFonts w:cs="Arial"/>
                <w:sz w:val="20"/>
              </w:rPr>
              <w:t xml:space="preserve">Business development and knowledge sharing </w:t>
            </w:r>
          </w:p>
        </w:tc>
        <w:tc>
          <w:tcPr>
            <w:tcW w:w="1418" w:type="dxa"/>
          </w:tcPr>
          <w:p w14:paraId="488EE1C3" w14:textId="77777777" w:rsidR="00F706D7" w:rsidRPr="00F706D7" w:rsidRDefault="00F706D7" w:rsidP="00CC440C">
            <w:pPr>
              <w:spacing w:before="120" w:after="120" w:line="276" w:lineRule="auto"/>
              <w:rPr>
                <w:rFonts w:cs="Arial"/>
                <w:sz w:val="20"/>
              </w:rPr>
            </w:pPr>
            <w:r w:rsidRPr="00F706D7">
              <w:rPr>
                <w:rFonts w:cs="Arial"/>
                <w:sz w:val="20"/>
              </w:rPr>
              <w:t>The market includes new businesses, micro enterprises, VCSEs and/or mutuals.</w:t>
            </w:r>
          </w:p>
        </w:tc>
        <w:tc>
          <w:tcPr>
            <w:tcW w:w="1417" w:type="dxa"/>
          </w:tcPr>
          <w:p w14:paraId="2C77C245" w14:textId="77777777" w:rsidR="00F706D7" w:rsidRPr="00F706D7" w:rsidRDefault="00F706D7" w:rsidP="00CC440C">
            <w:pPr>
              <w:spacing w:before="120" w:after="120" w:line="276" w:lineRule="auto"/>
              <w:rPr>
                <w:rFonts w:cs="Arial"/>
                <w:sz w:val="20"/>
              </w:rPr>
            </w:pPr>
            <w:r w:rsidRPr="00F706D7">
              <w:rPr>
                <w:rFonts w:cs="Arial"/>
                <w:sz w:val="20"/>
              </w:rPr>
              <w:t>Building ethical and resilient supply chains</w:t>
            </w:r>
          </w:p>
        </w:tc>
        <w:tc>
          <w:tcPr>
            <w:tcW w:w="1418" w:type="dxa"/>
          </w:tcPr>
          <w:p w14:paraId="09648F09" w14:textId="77777777" w:rsidR="00F706D7" w:rsidRPr="00F706D7" w:rsidRDefault="00F706D7" w:rsidP="00CC440C">
            <w:pPr>
              <w:spacing w:before="120" w:after="120" w:line="276" w:lineRule="auto"/>
              <w:rPr>
                <w:rFonts w:cs="Arial"/>
                <w:sz w:val="20"/>
              </w:rPr>
            </w:pPr>
            <w:r w:rsidRPr="00F706D7">
              <w:rPr>
                <w:rFonts w:cs="Arial"/>
                <w:sz w:val="20"/>
              </w:rPr>
              <w:t>Inclusion of new businesses, micro enterprises, VCSEs and/or mutual in the supply chain</w:t>
            </w:r>
          </w:p>
        </w:tc>
      </w:tr>
      <w:tr w:rsidR="00F706D7" w:rsidRPr="00F706D7" w14:paraId="17672743" w14:textId="77777777" w:rsidTr="00AB7194">
        <w:tc>
          <w:tcPr>
            <w:tcW w:w="1277" w:type="dxa"/>
          </w:tcPr>
          <w:p w14:paraId="54D225B4" w14:textId="77777777" w:rsidR="00F706D7" w:rsidRPr="00F706D7" w:rsidRDefault="00F706D7" w:rsidP="00CC440C">
            <w:pPr>
              <w:spacing w:before="120" w:after="120" w:line="276" w:lineRule="auto"/>
              <w:rPr>
                <w:rFonts w:cs="Arial"/>
                <w:b/>
                <w:sz w:val="20"/>
              </w:rPr>
            </w:pPr>
            <w:r w:rsidRPr="00F706D7">
              <w:rPr>
                <w:rFonts w:cs="Arial"/>
                <w:b/>
                <w:sz w:val="20"/>
              </w:rPr>
              <w:t>Supply Chain</w:t>
            </w:r>
          </w:p>
        </w:tc>
        <w:tc>
          <w:tcPr>
            <w:tcW w:w="1417" w:type="dxa"/>
          </w:tcPr>
          <w:p w14:paraId="1CFD46C8" w14:textId="77777777" w:rsidR="00F706D7" w:rsidRPr="00F706D7" w:rsidRDefault="00F706D7" w:rsidP="00CC440C">
            <w:pPr>
              <w:spacing w:before="120" w:after="120" w:line="276" w:lineRule="auto"/>
              <w:rPr>
                <w:rFonts w:cs="Arial"/>
                <w:sz w:val="20"/>
              </w:rPr>
            </w:pPr>
            <w:r w:rsidRPr="00F706D7">
              <w:rPr>
                <w:rFonts w:cs="Arial"/>
                <w:sz w:val="20"/>
              </w:rPr>
              <w:t>The supply chain is multi-tiered and includes countries that have a high risk of human rights abuses</w:t>
            </w:r>
            <w:r w:rsidR="00CC440C">
              <w:rPr>
                <w:rFonts w:cs="Arial"/>
                <w:sz w:val="20"/>
              </w:rPr>
              <w:t>.</w:t>
            </w:r>
          </w:p>
        </w:tc>
        <w:tc>
          <w:tcPr>
            <w:tcW w:w="1418" w:type="dxa"/>
          </w:tcPr>
          <w:p w14:paraId="3B9118B5" w14:textId="77777777" w:rsidR="00F706D7" w:rsidRPr="00F706D7" w:rsidRDefault="00F706D7" w:rsidP="00CC440C">
            <w:pPr>
              <w:spacing w:before="120" w:after="120" w:line="276" w:lineRule="auto"/>
              <w:rPr>
                <w:rFonts w:cs="Arial"/>
                <w:sz w:val="20"/>
              </w:rPr>
            </w:pPr>
            <w:r w:rsidRPr="00F706D7">
              <w:rPr>
                <w:rFonts w:cs="Arial"/>
                <w:sz w:val="20"/>
              </w:rPr>
              <w:t>Building ethical and resilient supply chains</w:t>
            </w:r>
          </w:p>
        </w:tc>
        <w:tc>
          <w:tcPr>
            <w:tcW w:w="1417" w:type="dxa"/>
          </w:tcPr>
          <w:p w14:paraId="486DBE7B" w14:textId="77777777" w:rsidR="00F706D7" w:rsidRPr="00F706D7" w:rsidRDefault="00F706D7" w:rsidP="00CC440C">
            <w:pPr>
              <w:spacing w:before="120" w:after="120" w:line="276" w:lineRule="auto"/>
              <w:rPr>
                <w:rFonts w:cs="Arial"/>
                <w:sz w:val="20"/>
              </w:rPr>
            </w:pPr>
            <w:r w:rsidRPr="00F706D7">
              <w:rPr>
                <w:rFonts w:cs="Arial"/>
                <w:sz w:val="20"/>
              </w:rPr>
              <w:t>Ethical Supply Chain Strategy</w:t>
            </w:r>
          </w:p>
        </w:tc>
        <w:tc>
          <w:tcPr>
            <w:tcW w:w="1418" w:type="dxa"/>
          </w:tcPr>
          <w:p w14:paraId="35314FA6" w14:textId="77777777" w:rsidR="00F706D7" w:rsidRPr="00F706D7" w:rsidRDefault="00F706D7" w:rsidP="00CC440C">
            <w:pPr>
              <w:spacing w:before="120" w:after="120" w:line="276" w:lineRule="auto"/>
              <w:rPr>
                <w:rFonts w:cs="Arial"/>
                <w:sz w:val="20"/>
              </w:rPr>
            </w:pPr>
            <w:r w:rsidRPr="00F706D7">
              <w:rPr>
                <w:rFonts w:cs="Arial"/>
                <w:sz w:val="20"/>
              </w:rPr>
              <w:t>There are a high number of suppliers based in Northern Ireland</w:t>
            </w:r>
            <w:r w:rsidR="00CC440C">
              <w:rPr>
                <w:rFonts w:cs="Arial"/>
                <w:sz w:val="20"/>
              </w:rPr>
              <w:t>.</w:t>
            </w:r>
          </w:p>
        </w:tc>
        <w:tc>
          <w:tcPr>
            <w:tcW w:w="1417" w:type="dxa"/>
          </w:tcPr>
          <w:p w14:paraId="3FC95A69" w14:textId="77777777" w:rsidR="00F706D7" w:rsidRPr="00F706D7" w:rsidRDefault="00F706D7" w:rsidP="00CC440C">
            <w:pPr>
              <w:spacing w:before="120" w:after="120" w:line="276" w:lineRule="auto"/>
              <w:rPr>
                <w:rFonts w:cs="Arial"/>
                <w:sz w:val="20"/>
              </w:rPr>
            </w:pPr>
            <w:r w:rsidRPr="00F706D7">
              <w:rPr>
                <w:rFonts w:cs="Arial"/>
                <w:sz w:val="20"/>
              </w:rPr>
              <w:t xml:space="preserve">Increasing secure employment and skills  </w:t>
            </w:r>
          </w:p>
        </w:tc>
        <w:tc>
          <w:tcPr>
            <w:tcW w:w="1418" w:type="dxa"/>
          </w:tcPr>
          <w:p w14:paraId="2A9E5672" w14:textId="77777777" w:rsidR="00F706D7" w:rsidRPr="00F706D7" w:rsidRDefault="00F706D7" w:rsidP="00CC440C">
            <w:pPr>
              <w:spacing w:before="120" w:after="120" w:line="276" w:lineRule="auto"/>
              <w:rPr>
                <w:rFonts w:cs="Arial"/>
                <w:sz w:val="20"/>
              </w:rPr>
            </w:pPr>
            <w:r w:rsidRPr="00F706D7">
              <w:rPr>
                <w:rFonts w:cs="Arial"/>
                <w:sz w:val="20"/>
              </w:rPr>
              <w:t>Employment / Work experience</w:t>
            </w:r>
          </w:p>
        </w:tc>
      </w:tr>
      <w:tr w:rsidR="00F706D7" w:rsidRPr="00F706D7" w14:paraId="7BD7C79A" w14:textId="77777777" w:rsidTr="00AB7194">
        <w:tc>
          <w:tcPr>
            <w:tcW w:w="1277" w:type="dxa"/>
          </w:tcPr>
          <w:p w14:paraId="6B59F2A1" w14:textId="77777777" w:rsidR="00F706D7" w:rsidRPr="00F706D7" w:rsidRDefault="00F706D7" w:rsidP="00CC440C">
            <w:pPr>
              <w:spacing w:before="120" w:after="120" w:line="276" w:lineRule="auto"/>
              <w:rPr>
                <w:rFonts w:cs="Arial"/>
                <w:b/>
                <w:sz w:val="20"/>
              </w:rPr>
            </w:pPr>
            <w:r w:rsidRPr="00F706D7">
              <w:rPr>
                <w:rFonts w:cs="Arial"/>
                <w:b/>
                <w:sz w:val="20"/>
              </w:rPr>
              <w:t>Policies</w:t>
            </w:r>
          </w:p>
        </w:tc>
        <w:tc>
          <w:tcPr>
            <w:tcW w:w="1417" w:type="dxa"/>
          </w:tcPr>
          <w:p w14:paraId="74BDFAA7" w14:textId="77777777" w:rsidR="00F706D7" w:rsidRPr="00F706D7" w:rsidRDefault="00F706D7" w:rsidP="00CC440C">
            <w:pPr>
              <w:spacing w:before="120" w:after="120" w:line="276" w:lineRule="auto"/>
              <w:rPr>
                <w:rFonts w:cs="Arial"/>
                <w:sz w:val="20"/>
              </w:rPr>
            </w:pPr>
            <w:r w:rsidRPr="00F706D7">
              <w:rPr>
                <w:rFonts w:cs="Arial"/>
                <w:sz w:val="20"/>
              </w:rPr>
              <w:t>The Contracting Authority has a strategic responsibility to protect the environment</w:t>
            </w:r>
            <w:r w:rsidR="00CC440C">
              <w:rPr>
                <w:rFonts w:cs="Arial"/>
                <w:sz w:val="20"/>
              </w:rPr>
              <w:t>.</w:t>
            </w:r>
          </w:p>
        </w:tc>
        <w:tc>
          <w:tcPr>
            <w:tcW w:w="1418" w:type="dxa"/>
          </w:tcPr>
          <w:p w14:paraId="3745D5B9" w14:textId="77777777" w:rsidR="00F706D7" w:rsidRPr="00F706D7" w:rsidRDefault="00F706D7" w:rsidP="00CC440C">
            <w:pPr>
              <w:spacing w:before="120" w:after="120" w:line="276" w:lineRule="auto"/>
              <w:rPr>
                <w:rFonts w:cs="Arial"/>
                <w:sz w:val="20"/>
              </w:rPr>
            </w:pPr>
            <w:r w:rsidRPr="00F706D7">
              <w:rPr>
                <w:rFonts w:cs="Arial"/>
                <w:sz w:val="20"/>
              </w:rPr>
              <w:t>Delivering Zero Carbon</w:t>
            </w:r>
          </w:p>
        </w:tc>
        <w:tc>
          <w:tcPr>
            <w:tcW w:w="1417" w:type="dxa"/>
          </w:tcPr>
          <w:p w14:paraId="0D24FA32" w14:textId="77777777" w:rsidR="00F706D7" w:rsidRPr="00F706D7" w:rsidRDefault="00F706D7" w:rsidP="00CC440C">
            <w:pPr>
              <w:spacing w:before="120" w:after="120" w:line="276" w:lineRule="auto"/>
              <w:rPr>
                <w:rFonts w:cs="Arial"/>
                <w:sz w:val="20"/>
              </w:rPr>
            </w:pPr>
            <w:r w:rsidRPr="00F706D7">
              <w:rPr>
                <w:rFonts w:cs="Arial"/>
                <w:sz w:val="20"/>
              </w:rPr>
              <w:t>Climate change adaption / Waste and Efficient Resource Consumption</w:t>
            </w:r>
          </w:p>
        </w:tc>
        <w:tc>
          <w:tcPr>
            <w:tcW w:w="1418" w:type="dxa"/>
          </w:tcPr>
          <w:p w14:paraId="5E9EF76D" w14:textId="77777777" w:rsidR="00F706D7" w:rsidRPr="00F706D7" w:rsidRDefault="00F706D7" w:rsidP="00CC440C">
            <w:pPr>
              <w:spacing w:before="120" w:after="120" w:line="276" w:lineRule="auto"/>
              <w:rPr>
                <w:rFonts w:cs="Arial"/>
                <w:sz w:val="20"/>
              </w:rPr>
            </w:pPr>
            <w:r w:rsidRPr="00F706D7">
              <w:rPr>
                <w:rFonts w:cs="Arial"/>
                <w:sz w:val="20"/>
              </w:rPr>
              <w:t>The Contracting Authority has a strategic responsibility to promote equality of opportunity.</w:t>
            </w:r>
          </w:p>
        </w:tc>
        <w:tc>
          <w:tcPr>
            <w:tcW w:w="1417" w:type="dxa"/>
          </w:tcPr>
          <w:p w14:paraId="1386F155" w14:textId="77777777" w:rsidR="00F706D7" w:rsidRPr="00F706D7" w:rsidRDefault="00F706D7" w:rsidP="00CC440C">
            <w:pPr>
              <w:spacing w:before="120" w:after="120" w:line="276" w:lineRule="auto"/>
              <w:rPr>
                <w:rFonts w:cs="Arial"/>
                <w:sz w:val="20"/>
              </w:rPr>
            </w:pPr>
            <w:r w:rsidRPr="00F706D7">
              <w:rPr>
                <w:rFonts w:cs="Arial"/>
                <w:sz w:val="20"/>
              </w:rPr>
              <w:t xml:space="preserve">Increasing secure employment and skills  </w:t>
            </w:r>
          </w:p>
          <w:p w14:paraId="3AE51076" w14:textId="77777777" w:rsidR="00F706D7" w:rsidRPr="00F706D7" w:rsidRDefault="00F706D7" w:rsidP="00CC440C">
            <w:pPr>
              <w:spacing w:before="120" w:after="120" w:line="276" w:lineRule="auto"/>
              <w:rPr>
                <w:rFonts w:cs="Arial"/>
                <w:sz w:val="20"/>
              </w:rPr>
            </w:pPr>
          </w:p>
          <w:p w14:paraId="00B55CC2" w14:textId="77777777" w:rsidR="00F706D7" w:rsidRPr="00F706D7" w:rsidRDefault="00F706D7" w:rsidP="00CC440C">
            <w:pPr>
              <w:spacing w:before="120" w:after="120" w:line="276" w:lineRule="auto"/>
              <w:rPr>
                <w:rFonts w:cs="Arial"/>
                <w:sz w:val="20"/>
              </w:rPr>
            </w:pPr>
            <w:r w:rsidRPr="00F706D7">
              <w:rPr>
                <w:rFonts w:cs="Arial"/>
                <w:sz w:val="20"/>
              </w:rPr>
              <w:t>Promoting Wellbeing</w:t>
            </w:r>
          </w:p>
        </w:tc>
        <w:tc>
          <w:tcPr>
            <w:tcW w:w="1418" w:type="dxa"/>
          </w:tcPr>
          <w:p w14:paraId="48B42271" w14:textId="77777777" w:rsidR="00F706D7" w:rsidRPr="00F706D7" w:rsidRDefault="00F706D7" w:rsidP="00CC440C">
            <w:pPr>
              <w:spacing w:before="120" w:after="120" w:line="276" w:lineRule="auto"/>
              <w:rPr>
                <w:rFonts w:cs="Arial"/>
                <w:sz w:val="20"/>
              </w:rPr>
            </w:pPr>
            <w:r w:rsidRPr="00F706D7">
              <w:rPr>
                <w:rFonts w:cs="Arial"/>
                <w:sz w:val="20"/>
              </w:rPr>
              <w:t xml:space="preserve">Employment for people with disabilities </w:t>
            </w:r>
          </w:p>
          <w:p w14:paraId="419A2A16" w14:textId="77777777" w:rsidR="00F706D7" w:rsidRPr="00F706D7" w:rsidRDefault="00F706D7" w:rsidP="00CC440C">
            <w:pPr>
              <w:spacing w:before="120" w:after="120" w:line="276" w:lineRule="auto"/>
              <w:rPr>
                <w:rFonts w:cs="Arial"/>
                <w:sz w:val="20"/>
              </w:rPr>
            </w:pPr>
          </w:p>
          <w:p w14:paraId="524D558C" w14:textId="77777777" w:rsidR="00F706D7" w:rsidRPr="00F706D7" w:rsidRDefault="00F706D7" w:rsidP="00CC440C">
            <w:pPr>
              <w:spacing w:before="120" w:after="120" w:line="276" w:lineRule="auto"/>
              <w:rPr>
                <w:rFonts w:cs="Arial"/>
                <w:sz w:val="20"/>
              </w:rPr>
            </w:pPr>
            <w:r w:rsidRPr="00F706D7">
              <w:rPr>
                <w:rFonts w:cs="Arial"/>
                <w:sz w:val="20"/>
              </w:rPr>
              <w:t>Equality, Diversity and Inclusion Strategy</w:t>
            </w:r>
          </w:p>
        </w:tc>
      </w:tr>
    </w:tbl>
    <w:p w14:paraId="201166CB" w14:textId="77777777" w:rsidR="00F706D7" w:rsidRPr="000A456F" w:rsidRDefault="00F706D7" w:rsidP="00F706D7">
      <w:pPr>
        <w:spacing w:line="276" w:lineRule="auto"/>
        <w:rPr>
          <w:rFonts w:cs="Arial"/>
        </w:rPr>
      </w:pPr>
    </w:p>
    <w:p w14:paraId="56A1395C" w14:textId="77777777" w:rsidR="00F706D7" w:rsidRDefault="00F706D7" w:rsidP="00F706D7">
      <w:pPr>
        <w:spacing w:line="276" w:lineRule="auto"/>
        <w:rPr>
          <w:rFonts w:cs="Arial"/>
          <w:b/>
        </w:rPr>
      </w:pPr>
      <w:r w:rsidRPr="000A456F">
        <w:rPr>
          <w:rFonts w:cs="Arial"/>
          <w:b/>
        </w:rPr>
        <w:t xml:space="preserve">More detailed guidance related to each individual indicator and the circumstances in which it may be suitable to include can be found </w:t>
      </w:r>
      <w:r>
        <w:rPr>
          <w:rFonts w:cs="Arial"/>
          <w:b/>
        </w:rPr>
        <w:t>on the Social Value Unit website.</w:t>
      </w:r>
    </w:p>
    <w:p w14:paraId="0222606F" w14:textId="77777777" w:rsidR="00FD2364" w:rsidRDefault="00FD2364"/>
    <w:sectPr w:rsidR="00FD2364" w:rsidSect="009804E1">
      <w:headerReference w:type="default" r:id="rId7"/>
      <w:pgSz w:w="11906" w:h="16838"/>
      <w:pgMar w:top="2120" w:right="1440" w:bottom="1440" w:left="1440"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12C4B1" w14:textId="77777777" w:rsidR="00123804" w:rsidRDefault="00123804" w:rsidP="00CC440C">
      <w:pPr>
        <w:spacing w:after="0" w:line="240" w:lineRule="auto"/>
      </w:pPr>
      <w:r>
        <w:separator/>
      </w:r>
    </w:p>
  </w:endnote>
  <w:endnote w:type="continuationSeparator" w:id="0">
    <w:p w14:paraId="6F0AE90C" w14:textId="77777777" w:rsidR="00123804" w:rsidRDefault="00123804" w:rsidP="00CC44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EC54AF" w14:textId="77777777" w:rsidR="00123804" w:rsidRDefault="00123804" w:rsidP="00CC440C">
      <w:pPr>
        <w:spacing w:after="0" w:line="240" w:lineRule="auto"/>
      </w:pPr>
      <w:r>
        <w:separator/>
      </w:r>
    </w:p>
  </w:footnote>
  <w:footnote w:type="continuationSeparator" w:id="0">
    <w:p w14:paraId="0B25E108" w14:textId="77777777" w:rsidR="00123804" w:rsidRDefault="00123804" w:rsidP="00CC44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60DC0" w14:textId="77777777" w:rsidR="00CC440C" w:rsidRDefault="00CC440C">
    <w:pPr>
      <w:pStyle w:val="Header"/>
    </w:pPr>
    <w:r>
      <w:rPr>
        <w:rFonts w:cs="Arial"/>
        <w:b/>
        <w:noProof/>
        <w:szCs w:val="24"/>
        <w:lang w:eastAsia="en-GB"/>
      </w:rPr>
      <w:drawing>
        <wp:anchor distT="0" distB="0" distL="114300" distR="114300" simplePos="0" relativeHeight="251659264" behindDoc="0" locked="0" layoutInCell="1" allowOverlap="1" wp14:anchorId="0DAAA7DB" wp14:editId="66F638A6">
          <wp:simplePos x="0" y="0"/>
          <wp:positionH relativeFrom="margin">
            <wp:posOffset>4733925</wp:posOffset>
          </wp:positionH>
          <wp:positionV relativeFrom="margin">
            <wp:posOffset>-796290</wp:posOffset>
          </wp:positionV>
          <wp:extent cx="1074420" cy="398780"/>
          <wp:effectExtent l="0" t="0" r="0" b="127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ocial Value logo_AW(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74420" cy="39878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321070"/>
    <w:multiLevelType w:val="hybridMultilevel"/>
    <w:tmpl w:val="B73C0E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110525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06D7"/>
    <w:rsid w:val="00123804"/>
    <w:rsid w:val="004250C7"/>
    <w:rsid w:val="009135B5"/>
    <w:rsid w:val="009804E1"/>
    <w:rsid w:val="00CC440C"/>
    <w:rsid w:val="00CF1439"/>
    <w:rsid w:val="00F706D7"/>
    <w:rsid w:val="00FD2364"/>
    <w:rsid w:val="00FE14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2F722E"/>
  <w15:chartTrackingRefBased/>
  <w15:docId w15:val="{8D91E104-FE04-4826-9829-7C104C9AD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06D7"/>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No Spacing1,List Paragraph Char Char Char,Indicator Text,Numbered Para 1,List Paragraph1,Bullet Points,MAIN CONTENT,OBC Bullet,List Paragraph11,List Paragraph12,F5 List Paragraph,Colorful List - Accent 11,Normal numbered,Bullet 1,L"/>
    <w:basedOn w:val="Normal"/>
    <w:link w:val="ListParagraphChar"/>
    <w:uiPriority w:val="34"/>
    <w:qFormat/>
    <w:rsid w:val="00F706D7"/>
    <w:pPr>
      <w:ind w:left="720"/>
      <w:contextualSpacing/>
    </w:pPr>
  </w:style>
  <w:style w:type="character" w:customStyle="1" w:styleId="ListParagraphChar">
    <w:name w:val="List Paragraph Char"/>
    <w:aliases w:val="Dot pt Char,No Spacing1 Char,List Paragraph Char Char Char Char,Indicator Text Char,Numbered Para 1 Char,List Paragraph1 Char,Bullet Points Char,MAIN CONTENT Char,OBC Bullet Char,List Paragraph11 Char,List Paragraph12 Char,L Char"/>
    <w:basedOn w:val="DefaultParagraphFont"/>
    <w:link w:val="ListParagraph"/>
    <w:uiPriority w:val="34"/>
    <w:qFormat/>
    <w:locked/>
    <w:rsid w:val="00F706D7"/>
    <w:rPr>
      <w:rFonts w:ascii="Arial" w:hAnsi="Arial"/>
      <w:sz w:val="24"/>
    </w:rPr>
  </w:style>
  <w:style w:type="table" w:styleId="TableGrid">
    <w:name w:val="Table Grid"/>
    <w:basedOn w:val="TableNormal"/>
    <w:uiPriority w:val="39"/>
    <w:rsid w:val="00F706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C44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440C"/>
    <w:rPr>
      <w:rFonts w:ascii="Arial" w:hAnsi="Arial"/>
      <w:sz w:val="24"/>
    </w:rPr>
  </w:style>
  <w:style w:type="paragraph" w:styleId="Footer">
    <w:name w:val="footer"/>
    <w:basedOn w:val="Normal"/>
    <w:link w:val="FooterChar"/>
    <w:uiPriority w:val="99"/>
    <w:unhideWhenUsed/>
    <w:rsid w:val="00CC44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440C"/>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333</Words>
  <Characters>1900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NICS</Company>
  <LinksUpToDate>false</LinksUpToDate>
  <CharactersWithSpaces>2229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Lizzie Borelan</dc:creator>
  <cp:keywords/>
  <dc:description/>
  <cp:lastModifiedBy>McStay, Susan</cp:lastModifiedBy>
  <cp:revision>2</cp:revision>
  <dcterms:created xsi:type="dcterms:W3CDTF">2023-06-08T13:01:00Z</dcterms:created>
  <dcterms:modified xsi:type="dcterms:W3CDTF">2023-06-08T13:01:00Z</dcterms:modified>
</cp:coreProperties>
</file>